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F26405">
        <w:rPr>
          <w:rFonts w:ascii="Segoe UI" w:eastAsia="Times New Roman" w:hAnsi="Segoe UI" w:cs="Segoe UI"/>
          <w:b/>
          <w:color w:val="0000FF"/>
          <w:sz w:val="28"/>
          <w:lang w:eastAsia="es-CO"/>
        </w:rPr>
        <w:t>OFICIO N° 077947</w:t>
      </w:r>
    </w:p>
    <w:p w:rsidR="00F26405" w:rsidRPr="00F26405" w:rsidRDefault="00F26405" w:rsidP="00F26405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F26405">
        <w:rPr>
          <w:rFonts w:ascii="Segoe UI" w:eastAsia="Times New Roman" w:hAnsi="Segoe UI" w:cs="Segoe UI"/>
          <w:b/>
          <w:color w:val="0000FF"/>
          <w:sz w:val="28"/>
          <w:lang w:eastAsia="es-CO"/>
        </w:rPr>
        <w:t>04-12-2013</w:t>
      </w:r>
    </w:p>
    <w:p w:rsidR="00F26405" w:rsidRPr="00F26405" w:rsidRDefault="00F26405" w:rsidP="00F26405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F26405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b/>
          <w:color w:val="0000FF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b/>
          <w:color w:val="0000FF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Subdirección de Gestión de Normativa y Doctrina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100208221- 001055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Doctora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>NATASHA AVENDAÑO GARCÍA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Directora de Gestión Organizacional (E)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Dirección de Impuestos y Aduanas Nacionales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Carrera 8° No. 6C-38 piso 4°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 xml:space="preserve">Ref.: </w:t>
      </w:r>
      <w:r w:rsidRPr="00F26405">
        <w:rPr>
          <w:rFonts w:ascii="Segoe UI" w:eastAsia="Times New Roman" w:hAnsi="Segoe UI" w:cs="Segoe UI"/>
          <w:szCs w:val="24"/>
          <w:lang w:eastAsia="es-CO"/>
        </w:rPr>
        <w:t>Radicado No. 02792 del 20 de noviembre de 2013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 xml:space="preserve">Tema: </w:t>
      </w:r>
      <w:r w:rsidRPr="00F26405">
        <w:rPr>
          <w:rFonts w:ascii="Segoe UI" w:eastAsia="Times New Roman" w:hAnsi="Segoe UI" w:cs="Segoe UI"/>
          <w:szCs w:val="24"/>
          <w:lang w:eastAsia="es-CO"/>
        </w:rPr>
        <w:t>Tributario, Impuesto sobre la renta y complementarios.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 xml:space="preserve">Descriptores: </w:t>
      </w:r>
      <w:r w:rsidRPr="00F26405">
        <w:rPr>
          <w:rFonts w:ascii="Segoe UI" w:eastAsia="Times New Roman" w:hAnsi="Segoe UI" w:cs="Segoe UI"/>
          <w:szCs w:val="24"/>
          <w:lang w:eastAsia="es-CO"/>
        </w:rPr>
        <w:t>Retención en la fuente a título de impuesto sobre la renta.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 xml:space="preserve">Fuentes formales: </w:t>
      </w:r>
      <w:r w:rsidRPr="00F26405">
        <w:rPr>
          <w:rFonts w:ascii="Segoe UI" w:eastAsia="Times New Roman" w:hAnsi="Segoe UI" w:cs="Segoe UI"/>
          <w:szCs w:val="24"/>
          <w:lang w:eastAsia="es-CO"/>
        </w:rPr>
        <w:t>Artículo 2° del Decreto 886 de 2006; Oficio No. 003875 del 13 de enero de 2006; sentencia de la Corte Suprema de Justicia, Sala de Casación Civil, M.P. WILLIAM NAMÉN VARGAS, del 8 de septiembre de 2011, Referencia: 11001-3103-026-2000-04366-01.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 xml:space="preserve">Atento saludo doctora </w:t>
      </w:r>
      <w:proofErr w:type="spellStart"/>
      <w:r w:rsidRPr="00F26405">
        <w:rPr>
          <w:rFonts w:ascii="Segoe UI" w:eastAsia="Times New Roman" w:hAnsi="Segoe UI" w:cs="Segoe UI"/>
          <w:szCs w:val="24"/>
          <w:lang w:eastAsia="es-CO"/>
        </w:rPr>
        <w:t>Natasha</w:t>
      </w:r>
      <w:proofErr w:type="spellEnd"/>
      <w:r w:rsidRPr="00F26405">
        <w:rPr>
          <w:rFonts w:ascii="Segoe UI" w:eastAsia="Times New Roman" w:hAnsi="Segoe UI" w:cs="Segoe UI"/>
          <w:szCs w:val="24"/>
          <w:lang w:eastAsia="es-CO"/>
        </w:rPr>
        <w:t>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De conformidad con el artículo 20 del Decreto 4048 de 2008 y la Orden Administrativa No. 000006 de 2009, es función de esta Subdirección absolver las consultas escritas que se formulen sobre la interpretación y aplicación de las normas tributarias de carácter nacional, aduaneras y cambiarias en lo de competencia de la Entidad, así como normas de personal, presupuestal y de contratación administrativa que formulen las diferentes dependencias a su interior.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Con ocasión del radicado de la referencia solicita de este Despacho concepto jurídico mediante el cual se esclarezca que la tarifa de retención en la fuente aplicable a los emolumentos eclesiásticos es la establecida en el Decreto 886 de 2006 y no otra diferente e inferior.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Sobre el particular, el Decreto 886 de 2006 – modificado por el Decreto 379 de 2007 - a la fecha vigente, se encarga de reglamentar de manera específica la tarifa de retención en la fuente a título de impuesto sobre la renta aplicable a los pagos o abonos en cuenta por concepto de emolumentos eclesiásticos; así, en su artículo 2° dispone:</w:t>
      </w:r>
    </w:p>
    <w:p w:rsidR="00F26405" w:rsidRPr="00F26405" w:rsidRDefault="00F26405" w:rsidP="00F26405">
      <w:pPr>
        <w:spacing w:line="240" w:lineRule="auto"/>
        <w:ind w:left="284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ind w:left="284"/>
        <w:rPr>
          <w:rFonts w:ascii="Segoe UI" w:eastAsia="Times New Roman" w:hAnsi="Segoe UI" w:cs="Segoe UI"/>
          <w:b/>
          <w:i/>
          <w:szCs w:val="24"/>
          <w:lang w:eastAsia="es-CO"/>
        </w:rPr>
      </w:pPr>
      <w:r w:rsidRPr="00F26405">
        <w:rPr>
          <w:rFonts w:ascii="Segoe UI" w:eastAsia="Times New Roman" w:hAnsi="Segoe UI" w:cs="Segoe UI"/>
          <w:i/>
          <w:szCs w:val="24"/>
          <w:lang w:eastAsia="es-CO"/>
        </w:rPr>
        <w:lastRenderedPageBreak/>
        <w:t xml:space="preserve">“ARTÍCULO 2o. TARIFA DE RETENCIÓN EN LA FUENTE A TÍTULO DEL IMPUESTO SOBRE LA RENTA POR CONCEPTO DE EMOLUMENTOS ECLESIÁSTICOS. La tarifa de retención en la fuente a título del impuesto sobre la renta, aplicable sobre los pagos o abonos en cuenta en dinero o en especie que efectúen los agentes de retención por concepto de emolumentos eclesiásticos a contribuyentes obligados a presentar declaración del impuesto sobre la renta y complementarios, será del </w:t>
      </w:r>
      <w:r w:rsidRPr="00F26405">
        <w:rPr>
          <w:rFonts w:ascii="Segoe UI" w:eastAsia="Times New Roman" w:hAnsi="Segoe UI" w:cs="Segoe UI"/>
          <w:b/>
          <w:i/>
          <w:szCs w:val="24"/>
          <w:lang w:eastAsia="es-CO"/>
        </w:rPr>
        <w:t>cuatro por ciento (4%) sobre el valor bruto del pago o abono en cuenta.</w:t>
      </w:r>
    </w:p>
    <w:p w:rsidR="00F26405" w:rsidRPr="00F26405" w:rsidRDefault="00F26405" w:rsidP="00F26405">
      <w:pPr>
        <w:spacing w:line="240" w:lineRule="auto"/>
        <w:ind w:left="284"/>
        <w:rPr>
          <w:rFonts w:ascii="Segoe UI" w:eastAsia="Times New Roman" w:hAnsi="Segoe UI" w:cs="Segoe UI"/>
          <w:b/>
          <w:i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ind w:left="284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Cuando el beneficiario del pago o abono en cuenta no esté obligado a presentar declaración del impuesto sobre la renta, la tarifa de retención en la fuente por concepto de emolumentos eclesiásticos será del </w:t>
      </w:r>
      <w:r w:rsidRPr="00F26405">
        <w:rPr>
          <w:rFonts w:ascii="Segoe UI" w:eastAsia="Times New Roman" w:hAnsi="Segoe UI" w:cs="Segoe UI"/>
          <w:b/>
          <w:i/>
          <w:szCs w:val="24"/>
          <w:lang w:eastAsia="es-CO"/>
        </w:rPr>
        <w:t xml:space="preserve">tres y medio por ciento (3.5%) sobre el valor bruto del pago o abono en cuenta, </w:t>
      </w: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de conformidad con el </w:t>
      </w:r>
      <w:hyperlink r:id="rId5" w:tooltip="Estatuto Tributario CETA" w:history="1">
        <w:r w:rsidRPr="00F26405">
          <w:rPr>
            <w:rFonts w:ascii="Segoe UI" w:eastAsia="Times New Roman" w:hAnsi="Segoe UI" w:cs="Segoe UI"/>
            <w:i/>
            <w:color w:val="0089E1"/>
            <w:szCs w:val="24"/>
            <w:lang w:eastAsia="es-CO"/>
          </w:rPr>
          <w:t>artículo 401</w:t>
        </w:r>
      </w:hyperlink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 del Estatuto Tributario.” </w:t>
      </w:r>
      <w:r w:rsidRPr="00F26405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F26405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F26405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 xml:space="preserve">Por otra parte, habiéndose analizado la naturaleza de los emolumentos eclesiásticos, mediante Oficio No. 003875 del 13 de enero de 2006 se concluyó que en el evento de no existir </w:t>
      </w: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“norma reglamentaria específica (…) de acuerdo con la doctrina de la Oficina Jurídica de la Dirección de Impuestos y Aduanas Nacionales contenida en diversos conceptos emitidos, la retención en la fuente a aplicar a título del impuesto sobre la renta respecto de las retribuciones percibidas por los sacerdotes, pastores y en general a los ministros del culto </w:t>
      </w:r>
      <w:r w:rsidRPr="00F26405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era la prevista para honorarios, </w:t>
      </w: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por corresponder a una contraprestación percibida en desarrollo de una actividad sin relación laboral, en cuya prestación prevalece el elemento intelectual sobre el puramente manual o material. Por tal razón se había señalado que, independientemente de la orientación religiosa, o lo que es lo mismo, independientemente del credo religioso que se profesara, toda retribución cuya finalidad era compensar o retribuir el servicio personal y actividad de los sacerdotes, pastores y en general a los ministros del culto e independientemente de la denominación que se le otorgara a la compensación, la retención correspondía a honorarios a la tarifa del 10% o del 11% según correspondiera, atendiendo la condición de declarante o no declarante del beneficiario del ingreso.” </w:t>
      </w:r>
      <w:r w:rsidRPr="00F26405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F26405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F26405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 xml:space="preserve">Luego es evidente que, además de consagrar tarifas de retención inferiores, resulta imperioso aplicar las disposiciones del Decreto 886 de 2006 en el caso </w:t>
      </w: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sub examine, </w:t>
      </w:r>
      <w:r w:rsidRPr="00F26405">
        <w:rPr>
          <w:rFonts w:ascii="Segoe UI" w:eastAsia="Times New Roman" w:hAnsi="Segoe UI" w:cs="Segoe UI"/>
          <w:szCs w:val="24"/>
          <w:lang w:eastAsia="es-CO"/>
        </w:rPr>
        <w:t xml:space="preserve">en atención al canon </w:t>
      </w:r>
      <w:r w:rsidRPr="00F26405">
        <w:rPr>
          <w:rFonts w:ascii="Segoe UI" w:eastAsia="Times New Roman" w:hAnsi="Segoe UI" w:cs="Segoe UI"/>
          <w:i/>
          <w:szCs w:val="24"/>
          <w:lang w:eastAsia="es-CO"/>
        </w:rPr>
        <w:t xml:space="preserve">“ley especial deroga ley general” </w:t>
      </w:r>
      <w:r w:rsidRPr="00F26405">
        <w:rPr>
          <w:rFonts w:ascii="Segoe UI" w:eastAsia="Times New Roman" w:hAnsi="Segoe UI" w:cs="Segoe UI"/>
          <w:szCs w:val="24"/>
          <w:lang w:eastAsia="es-CO"/>
        </w:rPr>
        <w:t>de vieja data, reconocido por la Corte Suprema de Justicia, Sala de Casación Civil, M.P. WILLIAM NAMÉN VARGAS, en sentencia del 8 de septiembre de 2011, Referencia: 11001-3103-026-2000-04366-01.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Atentamente,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  <w:r w:rsidRPr="00F26405">
        <w:rPr>
          <w:rFonts w:ascii="Segoe UI" w:eastAsia="Times New Roman" w:hAnsi="Segoe UI" w:cs="Segoe UI"/>
          <w:b/>
          <w:szCs w:val="24"/>
          <w:lang w:eastAsia="es-CO"/>
        </w:rPr>
        <w:t>LEONOR EUGENIA RUIZ DE VILLALOBOS</w:t>
      </w:r>
    </w:p>
    <w:p w:rsidR="00F26405" w:rsidRPr="00F26405" w:rsidRDefault="00F26405" w:rsidP="00F26405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F26405">
        <w:rPr>
          <w:rFonts w:ascii="Segoe UI" w:eastAsia="Times New Roman" w:hAnsi="Segoe UI" w:cs="Segoe UI"/>
          <w:szCs w:val="24"/>
          <w:lang w:eastAsia="es-CO"/>
        </w:rPr>
        <w:t>Subdirectora de Gestión de Normativa y Doctrina</w:t>
      </w:r>
    </w:p>
    <w:p w:rsidR="00F26405" w:rsidRPr="00F26405" w:rsidRDefault="00F26405" w:rsidP="00F26405">
      <w:pPr>
        <w:spacing w:after="285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F26405">
        <w:rPr>
          <w:rFonts w:ascii="Arial" w:eastAsia="Times New Roman" w:hAnsi="Arial" w:cs="Arial"/>
          <w:sz w:val="18"/>
          <w:szCs w:val="18"/>
          <w:lang w:eastAsia="es-CO"/>
        </w:rPr>
        <w:t> </w:t>
      </w:r>
      <w:bookmarkStart w:id="0" w:name="_GoBack"/>
      <w:bookmarkEnd w:id="0"/>
    </w:p>
    <w:p w:rsidR="00B51D80" w:rsidRDefault="00B51D80"/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5"/>
    <w:rsid w:val="00A067C7"/>
    <w:rsid w:val="00B51D80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2013-12-19T23:07:00Z</dcterms:created>
  <dcterms:modified xsi:type="dcterms:W3CDTF">2013-12-19T23:09:00Z</dcterms:modified>
</cp:coreProperties>
</file>